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6C" w:rsidRDefault="00CE306C"/>
    <w:tbl>
      <w:tblPr>
        <w:tblStyle w:val="TableGrid"/>
        <w:tblW w:w="0" w:type="auto"/>
        <w:tblLook w:val="04A0" w:firstRow="1" w:lastRow="0" w:firstColumn="1" w:lastColumn="0" w:noHBand="0" w:noVBand="1"/>
      </w:tblPr>
      <w:tblGrid>
        <w:gridCol w:w="13948"/>
      </w:tblGrid>
      <w:tr w:rsidR="00CE306C" w:rsidTr="00CE306C">
        <w:tc>
          <w:tcPr>
            <w:tcW w:w="14174" w:type="dxa"/>
            <w:shd w:val="clear" w:color="auto" w:fill="943634" w:themeFill="accent2" w:themeFillShade="BF"/>
          </w:tcPr>
          <w:p w:rsidR="00CE306C" w:rsidRPr="00CE306C" w:rsidRDefault="00CE306C">
            <w:pPr>
              <w:rPr>
                <w:rFonts w:ascii="Comic Sans MS" w:hAnsi="Comic Sans MS"/>
                <w:sz w:val="28"/>
                <w:szCs w:val="28"/>
              </w:rPr>
            </w:pPr>
          </w:p>
          <w:p w:rsidR="00CE306C" w:rsidRPr="00CE306C" w:rsidRDefault="00CE306C">
            <w:pPr>
              <w:rPr>
                <w:rFonts w:ascii="Comic Sans MS" w:hAnsi="Comic Sans MS"/>
                <w:b/>
                <w:sz w:val="28"/>
                <w:szCs w:val="28"/>
              </w:rPr>
            </w:pPr>
            <w:r w:rsidRPr="00CE306C">
              <w:rPr>
                <w:rFonts w:ascii="Comic Sans MS" w:hAnsi="Comic Sans MS"/>
                <w:b/>
                <w:sz w:val="28"/>
                <w:szCs w:val="28"/>
              </w:rPr>
              <w:t xml:space="preserve">What is Pupil Premium? </w:t>
            </w:r>
          </w:p>
          <w:p w:rsidR="00CE306C" w:rsidRPr="00CE306C" w:rsidRDefault="00CE306C">
            <w:pPr>
              <w:rPr>
                <w:rFonts w:ascii="Comic Sans MS" w:hAnsi="Comic Sans MS"/>
                <w:sz w:val="28"/>
                <w:szCs w:val="28"/>
              </w:rPr>
            </w:pPr>
          </w:p>
        </w:tc>
      </w:tr>
      <w:tr w:rsidR="00CE306C" w:rsidTr="00CE306C">
        <w:tc>
          <w:tcPr>
            <w:tcW w:w="14174" w:type="dxa"/>
          </w:tcPr>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The Pupil Premium is additional funding given to publicly funded schools in England to raise the attainment of disadvantaged pupils and close the gap between them and their peers. It is for schools to decide how the Pupil Premium is spent, since they are best placed to assess what additional provision should be made for the individual pupils within their responsibility.</w:t>
            </w:r>
          </w:p>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Pupil Premium is allocated to schools and is clearly identifiable. It is paid to schools according to the number of pupils who have:</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registered as eligible for free school meals at any point in the last 6 years</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been in care for 1 day or longer</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are service children</w:t>
            </w:r>
          </w:p>
          <w:p w:rsidR="00CE306C" w:rsidRDefault="00A05AFB" w:rsidP="00D210DF">
            <w:pPr>
              <w:spacing w:before="150" w:after="150" w:line="360" w:lineRule="atLeast"/>
            </w:pPr>
            <w:r w:rsidRPr="00A05AFB">
              <w:rPr>
                <w:rFonts w:ascii="Comic Sans MS" w:eastAsia="Times New Roman" w:hAnsi="Comic Sans MS" w:cs="Times New Roman"/>
                <w:sz w:val="21"/>
                <w:szCs w:val="21"/>
              </w:rPr>
              <w:t>In the 2016 to 2017 financial year primary schools receive £1,320 for each eligible free school meals child, £1900 for each child eligible ‘Looked after’ child and £300 for each eligible service child</w:t>
            </w:r>
            <w:r>
              <w:rPr>
                <w:rFonts w:ascii="Comic Sans MS" w:eastAsia="Times New Roman" w:hAnsi="Comic Sans MS" w:cs="Times New Roman"/>
                <w:sz w:val="21"/>
                <w:szCs w:val="21"/>
              </w:rPr>
              <w:t xml:space="preserve">.  </w:t>
            </w:r>
          </w:p>
          <w:p w:rsidR="00CE306C" w:rsidRDefault="00CE306C"/>
        </w:tc>
      </w:tr>
    </w:tbl>
    <w:p w:rsidR="00CE306C" w:rsidRDefault="00CE306C"/>
    <w:p w:rsidR="00D210DF" w:rsidRDefault="00D210DF"/>
    <w:tbl>
      <w:tblPr>
        <w:tblStyle w:val="TableGrid"/>
        <w:tblW w:w="0" w:type="auto"/>
        <w:tblLook w:val="04A0" w:firstRow="1" w:lastRow="0" w:firstColumn="1" w:lastColumn="0" w:noHBand="0" w:noVBand="1"/>
      </w:tblPr>
      <w:tblGrid>
        <w:gridCol w:w="13948"/>
      </w:tblGrid>
      <w:tr w:rsidR="00D210DF" w:rsidTr="00D210DF">
        <w:tc>
          <w:tcPr>
            <w:tcW w:w="14174" w:type="dxa"/>
            <w:shd w:val="clear" w:color="auto" w:fill="943634" w:themeFill="accent2" w:themeFillShade="BF"/>
          </w:tcPr>
          <w:p w:rsidR="00D210DF" w:rsidRDefault="00D210DF"/>
          <w:p w:rsidR="00D210DF" w:rsidRPr="00D210DF" w:rsidRDefault="00D210DF">
            <w:pPr>
              <w:rPr>
                <w:rFonts w:ascii="Comic Sans MS" w:hAnsi="Comic Sans MS"/>
                <w:b/>
                <w:sz w:val="28"/>
                <w:szCs w:val="28"/>
              </w:rPr>
            </w:pPr>
            <w:r w:rsidRPr="00D210DF">
              <w:rPr>
                <w:rFonts w:ascii="Comic Sans MS" w:hAnsi="Comic Sans MS"/>
                <w:b/>
                <w:sz w:val="28"/>
                <w:szCs w:val="28"/>
              </w:rPr>
              <w:t xml:space="preserve">School context </w:t>
            </w:r>
          </w:p>
          <w:p w:rsidR="00D210DF" w:rsidRDefault="00D210DF"/>
        </w:tc>
      </w:tr>
      <w:tr w:rsidR="00D210DF" w:rsidTr="00D210DF">
        <w:tc>
          <w:tcPr>
            <w:tcW w:w="14174" w:type="dxa"/>
          </w:tcPr>
          <w:p w:rsidR="00D210DF" w:rsidRDefault="00D210DF">
            <w:pPr>
              <w:rPr>
                <w:rFonts w:ascii="Comic Sans MS" w:hAnsi="Comic Sans MS"/>
                <w:sz w:val="21"/>
                <w:szCs w:val="21"/>
              </w:rPr>
            </w:pPr>
          </w:p>
          <w:p w:rsidR="00D210DF" w:rsidRDefault="00D210DF" w:rsidP="005D0B86">
            <w:r w:rsidRPr="00D210DF">
              <w:rPr>
                <w:rFonts w:ascii="Comic Sans MS" w:hAnsi="Comic Sans MS"/>
                <w:sz w:val="21"/>
                <w:szCs w:val="21"/>
              </w:rPr>
              <w:t>Berkley Church of England First School is much smaller than the average-size primary school. Nearly all pupils are from a White British background. The proportion of pupils known to be eligible for free school meals is lower than the national average. The proportion of pupils with special educational needs and/or disabilities is higher than the national average. These pupils' needs cover a wide range, including moderate learning difficulties and speech and language disorders. There are no pupils with a statement of special educational needs. The Early Years Foundation Stage consists of Reception-age children, who are integrated into one class with a number of Year 1 pupils. Throughout the rest of the school, pupils are organ</w:t>
            </w:r>
            <w:r>
              <w:rPr>
                <w:rFonts w:ascii="Comic Sans MS" w:hAnsi="Comic Sans MS"/>
                <w:sz w:val="21"/>
                <w:szCs w:val="21"/>
              </w:rPr>
              <w:t xml:space="preserve">ised into mixed Years 1/2 and single Year 3 and Year </w:t>
            </w:r>
            <w:r w:rsidRPr="00D210DF">
              <w:rPr>
                <w:rFonts w:ascii="Comic Sans MS" w:hAnsi="Comic Sans MS"/>
                <w:sz w:val="21"/>
                <w:szCs w:val="21"/>
              </w:rPr>
              <w:t>4 classes. In recognition of its work, the school has received a number of awards, inc</w:t>
            </w:r>
            <w:r w:rsidR="005D0B86">
              <w:rPr>
                <w:rFonts w:ascii="Comic Sans MS" w:hAnsi="Comic Sans MS"/>
                <w:sz w:val="21"/>
                <w:szCs w:val="21"/>
              </w:rPr>
              <w:t>luding the Green Flag Eco A</w:t>
            </w:r>
            <w:r>
              <w:rPr>
                <w:rFonts w:ascii="Comic Sans MS" w:hAnsi="Comic Sans MS"/>
                <w:sz w:val="21"/>
                <w:szCs w:val="21"/>
              </w:rPr>
              <w:t>ward</w:t>
            </w:r>
            <w:r w:rsidR="005D0B86">
              <w:rPr>
                <w:rFonts w:ascii="Comic Sans MS" w:hAnsi="Comic Sans MS"/>
                <w:sz w:val="21"/>
                <w:szCs w:val="21"/>
              </w:rPr>
              <w:t>, Dyslexia Friendly, Healthy School and the 360 Degree Safety A</w:t>
            </w:r>
            <w:r>
              <w:rPr>
                <w:rFonts w:ascii="Comic Sans MS" w:hAnsi="Comic Sans MS"/>
                <w:sz w:val="21"/>
                <w:szCs w:val="21"/>
              </w:rPr>
              <w:t xml:space="preserve">ward.  </w:t>
            </w:r>
          </w:p>
        </w:tc>
      </w:tr>
    </w:tbl>
    <w:p w:rsidR="005D641E" w:rsidRPr="00A83086" w:rsidRDefault="00840BC3">
      <w:pPr>
        <w:rPr>
          <w:rFonts w:ascii="Comic Sans MS" w:hAnsi="Comic Sans MS"/>
          <w:i/>
          <w:color w:val="943634" w:themeColor="accent2" w:themeShade="BF"/>
          <w:sz w:val="28"/>
          <w:szCs w:val="28"/>
        </w:rPr>
      </w:pPr>
      <w:r w:rsidRPr="00A83086">
        <w:rPr>
          <w:rFonts w:ascii="Comic Sans MS" w:hAnsi="Comic Sans MS"/>
          <w:i/>
          <w:color w:val="943634" w:themeColor="accent2" w:themeShade="BF"/>
          <w:sz w:val="28"/>
          <w:szCs w:val="28"/>
        </w:rPr>
        <w:t xml:space="preserve">“This is an outstanding school, where pupils achieve exceptionally well. Pupils greatly enjoy school and their behaviour and attitudes are exemplary. They feel extremely safe and adopt exceptionally healthy lifestyles.  Excellent teaching and an outstanding curriculum are crucial factors in the exceptional progress made by all groups of pupils.”  (Ofsted ‘Outstanding’ inspection report, February 2011)  </w:t>
      </w:r>
    </w:p>
    <w:p w:rsidR="00284557" w:rsidRDefault="00284557"/>
    <w:p w:rsidR="005D641E" w:rsidRDefault="005D641E"/>
    <w:tbl>
      <w:tblPr>
        <w:tblStyle w:val="TableGrid"/>
        <w:tblW w:w="0" w:type="auto"/>
        <w:tblLook w:val="04A0" w:firstRow="1" w:lastRow="0" w:firstColumn="1" w:lastColumn="0" w:noHBand="0" w:noVBand="1"/>
      </w:tblPr>
      <w:tblGrid>
        <w:gridCol w:w="13948"/>
      </w:tblGrid>
      <w:tr w:rsidR="005D641E" w:rsidTr="006B09B3">
        <w:tc>
          <w:tcPr>
            <w:tcW w:w="14174" w:type="dxa"/>
            <w:shd w:val="clear" w:color="auto" w:fill="943634" w:themeFill="accent2" w:themeFillShade="BF"/>
          </w:tcPr>
          <w:p w:rsidR="005D641E" w:rsidRDefault="005D641E" w:rsidP="005D641E">
            <w:pPr>
              <w:rPr>
                <w:rFonts w:ascii="Comic Sans MS" w:hAnsi="Comic Sans MS"/>
                <w:b/>
                <w:sz w:val="28"/>
                <w:szCs w:val="28"/>
              </w:rPr>
            </w:pPr>
          </w:p>
          <w:p w:rsidR="005D641E" w:rsidRDefault="005D641E" w:rsidP="005D641E">
            <w:pPr>
              <w:rPr>
                <w:rFonts w:ascii="Comic Sans MS" w:hAnsi="Comic Sans MS"/>
                <w:b/>
                <w:sz w:val="28"/>
                <w:szCs w:val="28"/>
              </w:rPr>
            </w:pPr>
            <w:r>
              <w:rPr>
                <w:rFonts w:ascii="Comic Sans MS" w:hAnsi="Comic Sans MS"/>
                <w:b/>
                <w:sz w:val="28"/>
                <w:szCs w:val="28"/>
              </w:rPr>
              <w:t xml:space="preserve">Pupil Premium at Berkley </w:t>
            </w:r>
          </w:p>
          <w:p w:rsidR="005D641E" w:rsidRDefault="005D641E" w:rsidP="005D641E"/>
        </w:tc>
      </w:tr>
      <w:tr w:rsidR="005D641E" w:rsidTr="006B09B3">
        <w:tc>
          <w:tcPr>
            <w:tcW w:w="14174" w:type="dxa"/>
          </w:tcPr>
          <w:p w:rsidR="005D641E" w:rsidRPr="00DE177A" w:rsidRDefault="005D641E" w:rsidP="006B09B3">
            <w:pPr>
              <w:rPr>
                <w:rFonts w:ascii="Comic Sans MS" w:hAnsi="Comic Sans MS"/>
                <w:sz w:val="21"/>
                <w:szCs w:val="21"/>
              </w:rPr>
            </w:pP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aim to use the Pupil Premium effectively to raise achievement and close the gap between pupil groups. We believe that Quality First Teaching has the biggest impact on these groups; with additional targeted support where needed to raise attainment of those from vulnerable groups. </w:t>
            </w: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DE177A" w:rsidRDefault="00DE177A" w:rsidP="00DE177A">
            <w:pPr>
              <w:pStyle w:val="Default"/>
            </w:pPr>
            <w:r w:rsidRPr="00DE177A">
              <w:rPr>
                <w:rFonts w:ascii="Comic Sans MS" w:hAnsi="Comic Sans MS"/>
                <w:sz w:val="21"/>
                <w:szCs w:val="21"/>
              </w:rPr>
              <w:t>We have used previous evaluations of what has worked in our school to inform how to spend the allocation. Grants are considered within the overall school budget, including additional funds, and are used to supplement existing resources and provide new ones.</w:t>
            </w:r>
          </w:p>
          <w:p w:rsidR="00DE177A" w:rsidRDefault="00DE177A" w:rsidP="005D641E"/>
        </w:tc>
      </w:tr>
    </w:tbl>
    <w:p w:rsidR="00397C8C" w:rsidRDefault="00397C8C"/>
    <w:p w:rsidR="002A37E6" w:rsidRDefault="002A37E6"/>
    <w:p w:rsidR="002A37E6" w:rsidRDefault="002A37E6"/>
    <w:p w:rsidR="006C66B7" w:rsidRDefault="006C66B7"/>
    <w:tbl>
      <w:tblPr>
        <w:tblStyle w:val="TableGrid"/>
        <w:tblW w:w="0" w:type="auto"/>
        <w:tblLook w:val="04A0" w:firstRow="1" w:lastRow="0" w:firstColumn="1" w:lastColumn="0" w:noHBand="0" w:noVBand="1"/>
      </w:tblPr>
      <w:tblGrid>
        <w:gridCol w:w="6977"/>
        <w:gridCol w:w="6971"/>
      </w:tblGrid>
      <w:tr w:rsidR="002A37E6" w:rsidTr="002A37E6">
        <w:trPr>
          <w:trHeight w:val="745"/>
        </w:trPr>
        <w:tc>
          <w:tcPr>
            <w:tcW w:w="14174" w:type="dxa"/>
            <w:gridSpan w:val="2"/>
            <w:shd w:val="clear" w:color="auto" w:fill="943634" w:themeFill="accent2" w:themeFillShade="BF"/>
          </w:tcPr>
          <w:p w:rsidR="002A37E6" w:rsidRPr="002A37E6" w:rsidRDefault="002A37E6">
            <w:pPr>
              <w:rPr>
                <w:rFonts w:ascii="Comic Sans MS" w:hAnsi="Comic Sans MS"/>
                <w:b/>
                <w:sz w:val="28"/>
                <w:szCs w:val="28"/>
              </w:rPr>
            </w:pPr>
          </w:p>
          <w:p w:rsidR="002A37E6" w:rsidRPr="002A37E6" w:rsidRDefault="000F1991" w:rsidP="002A37E6">
            <w:pPr>
              <w:shd w:val="clear" w:color="auto" w:fill="943634" w:themeFill="accent2" w:themeFillShade="BF"/>
              <w:rPr>
                <w:rFonts w:ascii="Comic Sans MS" w:hAnsi="Comic Sans MS"/>
                <w:b/>
                <w:sz w:val="28"/>
                <w:szCs w:val="28"/>
              </w:rPr>
            </w:pPr>
            <w:r>
              <w:rPr>
                <w:rFonts w:ascii="Comic Sans MS" w:hAnsi="Comic Sans MS"/>
                <w:b/>
                <w:sz w:val="28"/>
                <w:szCs w:val="28"/>
              </w:rPr>
              <w:t>Pupil Premium 2017 – 2018</w:t>
            </w:r>
            <w:r w:rsidR="002A37E6" w:rsidRPr="002A37E6">
              <w:rPr>
                <w:rFonts w:ascii="Comic Sans MS" w:hAnsi="Comic Sans MS"/>
                <w:b/>
                <w:sz w:val="28"/>
                <w:szCs w:val="28"/>
              </w:rPr>
              <w:t xml:space="preserve"> </w:t>
            </w:r>
          </w:p>
          <w:p w:rsidR="002A37E6" w:rsidRDefault="002A37E6"/>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Total numbers of pupils on roll</w:t>
            </w:r>
          </w:p>
        </w:tc>
        <w:tc>
          <w:tcPr>
            <w:tcW w:w="7087" w:type="dxa"/>
          </w:tcPr>
          <w:p w:rsidR="00397C8C" w:rsidRPr="000D2B56" w:rsidRDefault="000D2B56">
            <w:pPr>
              <w:rPr>
                <w:rFonts w:ascii="Comic Sans MS" w:hAnsi="Comic Sans MS"/>
              </w:rPr>
            </w:pPr>
            <w:r w:rsidRPr="000D2B56">
              <w:rPr>
                <w:rFonts w:ascii="Comic Sans MS" w:hAnsi="Comic Sans MS"/>
              </w:rPr>
              <w:t>99</w:t>
            </w:r>
          </w:p>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 xml:space="preserve">Numbers of pupils benefitting from Pupil Premium Grant </w:t>
            </w:r>
          </w:p>
        </w:tc>
        <w:tc>
          <w:tcPr>
            <w:tcW w:w="7087" w:type="dxa"/>
          </w:tcPr>
          <w:p w:rsidR="00397C8C" w:rsidRPr="000D2B56" w:rsidRDefault="00BD3108" w:rsidP="00BD3108">
            <w:pPr>
              <w:rPr>
                <w:rFonts w:ascii="Comic Sans MS" w:hAnsi="Comic Sans MS"/>
              </w:rPr>
            </w:pPr>
            <w:r>
              <w:rPr>
                <w:rFonts w:ascii="Comic Sans MS" w:hAnsi="Comic Sans MS"/>
              </w:rPr>
              <w:t xml:space="preserve">12 and 1 </w:t>
            </w:r>
            <w:proofErr w:type="spellStart"/>
            <w:r>
              <w:rPr>
                <w:rFonts w:ascii="Comic Sans MS" w:hAnsi="Comic Sans MS"/>
              </w:rPr>
              <w:t>EverSix</w:t>
            </w:r>
            <w:proofErr w:type="spellEnd"/>
          </w:p>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 xml:space="preserve">Amount of Pupil Premium Grant received </w:t>
            </w:r>
          </w:p>
        </w:tc>
        <w:tc>
          <w:tcPr>
            <w:tcW w:w="7087" w:type="dxa"/>
          </w:tcPr>
          <w:p w:rsidR="00397C8C" w:rsidRPr="000D2B56" w:rsidRDefault="00947A7D">
            <w:pPr>
              <w:rPr>
                <w:rFonts w:ascii="Comic Sans MS" w:hAnsi="Comic Sans MS"/>
              </w:rPr>
            </w:pPr>
            <w:r>
              <w:rPr>
                <w:rFonts w:ascii="Comic Sans MS" w:hAnsi="Comic Sans MS"/>
              </w:rPr>
              <w:t>£14820</w:t>
            </w:r>
          </w:p>
        </w:tc>
      </w:tr>
      <w:tr w:rsidR="00397C8C" w:rsidTr="00397C8C">
        <w:tc>
          <w:tcPr>
            <w:tcW w:w="7087" w:type="dxa"/>
          </w:tcPr>
          <w:p w:rsidR="00397C8C" w:rsidRPr="002A37E6" w:rsidRDefault="002A37E6">
            <w:pPr>
              <w:rPr>
                <w:rFonts w:ascii="Comic Sans MS" w:hAnsi="Comic Sans MS"/>
              </w:rPr>
            </w:pPr>
            <w:r w:rsidRPr="002A37E6">
              <w:rPr>
                <w:rFonts w:ascii="Comic Sans MS" w:hAnsi="Comic Sans MS"/>
              </w:rPr>
              <w:t xml:space="preserve">Total amount of additional funds received </w:t>
            </w:r>
          </w:p>
        </w:tc>
        <w:tc>
          <w:tcPr>
            <w:tcW w:w="7087" w:type="dxa"/>
          </w:tcPr>
          <w:p w:rsidR="00397C8C" w:rsidRPr="000D2B56" w:rsidRDefault="00397C8C">
            <w:pPr>
              <w:rPr>
                <w:rFonts w:ascii="Comic Sans MS" w:hAnsi="Comic Sans MS"/>
              </w:rPr>
            </w:pPr>
          </w:p>
        </w:tc>
      </w:tr>
    </w:tbl>
    <w:p w:rsidR="00284557" w:rsidRDefault="00284557"/>
    <w:p w:rsidR="00947A7D" w:rsidRDefault="00947A7D"/>
    <w:p w:rsidR="00947A7D" w:rsidRDefault="00947A7D"/>
    <w:p w:rsidR="00947A7D" w:rsidRDefault="00947A7D"/>
    <w:p w:rsidR="00947A7D" w:rsidRDefault="00947A7D"/>
    <w:p w:rsidR="00947A7D" w:rsidRDefault="00947A7D"/>
    <w:p w:rsidR="006C66B7" w:rsidRDefault="006C66B7"/>
    <w:tbl>
      <w:tblPr>
        <w:tblStyle w:val="TableGrid"/>
        <w:tblW w:w="0" w:type="auto"/>
        <w:tblLook w:val="04A0" w:firstRow="1" w:lastRow="0" w:firstColumn="1" w:lastColumn="0" w:noHBand="0" w:noVBand="1"/>
      </w:tblPr>
      <w:tblGrid>
        <w:gridCol w:w="13948"/>
      </w:tblGrid>
      <w:tr w:rsidR="002A37E6" w:rsidTr="002A37E6">
        <w:tc>
          <w:tcPr>
            <w:tcW w:w="14174" w:type="dxa"/>
            <w:shd w:val="clear" w:color="auto" w:fill="943634" w:themeFill="accent2" w:themeFillShade="BF"/>
          </w:tcPr>
          <w:p w:rsidR="002A37E6" w:rsidRDefault="002A37E6">
            <w:pPr>
              <w:rPr>
                <w:rFonts w:ascii="Comic Sans MS" w:hAnsi="Comic Sans MS"/>
                <w:b/>
                <w:sz w:val="28"/>
                <w:szCs w:val="28"/>
              </w:rPr>
            </w:pPr>
          </w:p>
          <w:p w:rsidR="002A37E6" w:rsidRDefault="000F1991">
            <w:pPr>
              <w:rPr>
                <w:rFonts w:ascii="Comic Sans MS" w:hAnsi="Comic Sans MS"/>
                <w:b/>
                <w:sz w:val="28"/>
                <w:szCs w:val="28"/>
              </w:rPr>
            </w:pPr>
            <w:r>
              <w:rPr>
                <w:rFonts w:ascii="Comic Sans MS" w:hAnsi="Comic Sans MS"/>
                <w:b/>
                <w:sz w:val="28"/>
                <w:szCs w:val="28"/>
              </w:rPr>
              <w:t>Impact of Support 2017 – 2018</w:t>
            </w:r>
            <w:r w:rsidR="002A37E6" w:rsidRPr="002A37E6">
              <w:rPr>
                <w:rFonts w:ascii="Comic Sans MS" w:hAnsi="Comic Sans MS"/>
                <w:b/>
                <w:sz w:val="28"/>
                <w:szCs w:val="28"/>
              </w:rPr>
              <w:t xml:space="preserve"> </w:t>
            </w:r>
          </w:p>
          <w:p w:rsidR="002A37E6" w:rsidRPr="002A37E6" w:rsidRDefault="002A37E6">
            <w:pPr>
              <w:rPr>
                <w:rFonts w:ascii="Comic Sans MS" w:hAnsi="Comic Sans MS"/>
                <w:b/>
                <w:sz w:val="28"/>
                <w:szCs w:val="28"/>
              </w:rPr>
            </w:pPr>
          </w:p>
        </w:tc>
      </w:tr>
      <w:tr w:rsidR="002A37E6" w:rsidTr="002A37E6">
        <w:tc>
          <w:tcPr>
            <w:tcW w:w="14174" w:type="dxa"/>
          </w:tcPr>
          <w:p w:rsidR="002A37E6" w:rsidRDefault="002A37E6"/>
          <w:p w:rsidR="002A37E6" w:rsidRDefault="002A37E6">
            <w:pPr>
              <w:rPr>
                <w:rFonts w:ascii="Comic Sans MS" w:hAnsi="Comic Sans MS"/>
                <w:b/>
                <w:sz w:val="24"/>
                <w:szCs w:val="24"/>
              </w:rPr>
            </w:pPr>
            <w:r w:rsidRPr="002A37E6">
              <w:rPr>
                <w:rFonts w:ascii="Comic Sans MS" w:hAnsi="Comic Sans MS"/>
                <w:b/>
                <w:sz w:val="24"/>
                <w:szCs w:val="24"/>
              </w:rPr>
              <w:t xml:space="preserve">Attainment </w:t>
            </w:r>
          </w:p>
          <w:p w:rsidR="002A37E6" w:rsidRPr="002A37E6" w:rsidRDefault="002A37E6">
            <w:pPr>
              <w:rPr>
                <w:rFonts w:ascii="Comic Sans MS" w:hAnsi="Comic Sans MS"/>
                <w:b/>
                <w:sz w:val="24"/>
                <w:szCs w:val="24"/>
              </w:rPr>
            </w:pPr>
          </w:p>
        </w:tc>
      </w:tr>
      <w:tr w:rsidR="002A37E6" w:rsidTr="002A37E6">
        <w:tc>
          <w:tcPr>
            <w:tcW w:w="14174" w:type="dxa"/>
          </w:tcPr>
          <w:p w:rsidR="002A37E6" w:rsidRDefault="002A37E6"/>
          <w:p w:rsidR="007C52B1" w:rsidRDefault="007C52B1"/>
          <w:tbl>
            <w:tblPr>
              <w:tblStyle w:val="TableGrid"/>
              <w:tblW w:w="0" w:type="auto"/>
              <w:tblLook w:val="04A0" w:firstRow="1" w:lastRow="0" w:firstColumn="1" w:lastColumn="0" w:noHBand="0" w:noVBand="1"/>
            </w:tblPr>
            <w:tblGrid>
              <w:gridCol w:w="4576"/>
              <w:gridCol w:w="4573"/>
              <w:gridCol w:w="4573"/>
            </w:tblGrid>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EYFS</w:t>
                  </w:r>
                </w:p>
              </w:tc>
              <w:tc>
                <w:tcPr>
                  <w:tcW w:w="4648" w:type="dxa"/>
                </w:tcPr>
                <w:p w:rsidR="00BD3108" w:rsidRPr="00CA33F9" w:rsidRDefault="00CA33F9">
                  <w:pPr>
                    <w:rPr>
                      <w:rFonts w:ascii="Comic Sans MS" w:hAnsi="Comic Sans MS"/>
                    </w:rPr>
                  </w:pPr>
                  <w:r w:rsidRPr="00CA33F9">
                    <w:rPr>
                      <w:rFonts w:ascii="Comic Sans MS" w:hAnsi="Comic Sans MS"/>
                    </w:rPr>
                    <w:t xml:space="preserve">Pupil Premium </w:t>
                  </w:r>
                </w:p>
              </w:tc>
              <w:tc>
                <w:tcPr>
                  <w:tcW w:w="4648" w:type="dxa"/>
                </w:tcPr>
                <w:p w:rsidR="00BD3108" w:rsidRPr="00CA33F9" w:rsidRDefault="00CA33F9">
                  <w:pPr>
                    <w:rPr>
                      <w:rFonts w:ascii="Comic Sans MS" w:hAnsi="Comic Sans MS"/>
                    </w:rPr>
                  </w:pPr>
                  <w:r w:rsidRPr="00CA33F9">
                    <w:rPr>
                      <w:rFonts w:ascii="Comic Sans MS" w:hAnsi="Comic Sans MS"/>
                    </w:rPr>
                    <w:t xml:space="preserve">School Non-Pupil Premium </w:t>
                  </w:r>
                </w:p>
              </w:tc>
            </w:tr>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 xml:space="preserve">% Achieving 2+ in Prime areas </w:t>
                  </w:r>
                </w:p>
              </w:tc>
              <w:tc>
                <w:tcPr>
                  <w:tcW w:w="4648" w:type="dxa"/>
                </w:tcPr>
                <w:p w:rsidR="00BD3108" w:rsidRPr="00CA33F9" w:rsidRDefault="00BD3108">
                  <w:pPr>
                    <w:rPr>
                      <w:rFonts w:ascii="Comic Sans MS" w:hAnsi="Comic Sans MS"/>
                    </w:rPr>
                  </w:pPr>
                </w:p>
              </w:tc>
              <w:tc>
                <w:tcPr>
                  <w:tcW w:w="4648" w:type="dxa"/>
                </w:tcPr>
                <w:p w:rsidR="00BD3108" w:rsidRPr="00CA33F9" w:rsidRDefault="00BD3108">
                  <w:pPr>
                    <w:rPr>
                      <w:rFonts w:ascii="Comic Sans MS" w:hAnsi="Comic Sans MS"/>
                    </w:rPr>
                  </w:pPr>
                </w:p>
              </w:tc>
            </w:tr>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 xml:space="preserve">Overall average total score </w:t>
                  </w:r>
                </w:p>
              </w:tc>
              <w:tc>
                <w:tcPr>
                  <w:tcW w:w="4648" w:type="dxa"/>
                </w:tcPr>
                <w:p w:rsidR="00BD3108" w:rsidRPr="00CA33F9" w:rsidRDefault="00BD3108">
                  <w:pPr>
                    <w:rPr>
                      <w:rFonts w:ascii="Comic Sans MS" w:hAnsi="Comic Sans MS"/>
                    </w:rPr>
                  </w:pPr>
                </w:p>
              </w:tc>
              <w:tc>
                <w:tcPr>
                  <w:tcW w:w="4648" w:type="dxa"/>
                </w:tcPr>
                <w:p w:rsidR="00BD3108" w:rsidRPr="00CA33F9" w:rsidRDefault="00BD3108">
                  <w:pPr>
                    <w:rPr>
                      <w:rFonts w:ascii="Comic Sans MS" w:hAnsi="Comic Sans MS"/>
                    </w:rPr>
                  </w:pPr>
                </w:p>
              </w:tc>
            </w:tr>
          </w:tbl>
          <w:p w:rsidR="00EE381B" w:rsidRDefault="00EE381B"/>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BD3108">
              <w:tc>
                <w:tcPr>
                  <w:tcW w:w="4647" w:type="dxa"/>
                </w:tcPr>
                <w:p w:rsidR="00BD3108" w:rsidRPr="00BD3108" w:rsidRDefault="00BD3108">
                  <w:pPr>
                    <w:rPr>
                      <w:rFonts w:ascii="Comic Sans MS" w:hAnsi="Comic Sans MS"/>
                    </w:rPr>
                  </w:pPr>
                  <w:r w:rsidRPr="00BD3108">
                    <w:rPr>
                      <w:rFonts w:ascii="Comic Sans MS" w:hAnsi="Comic Sans MS"/>
                    </w:rPr>
                    <w:t xml:space="preserve">% achieving expected </w:t>
                  </w:r>
                  <w:r w:rsidR="00CA33F9">
                    <w:rPr>
                      <w:rFonts w:ascii="Comic Sans MS" w:hAnsi="Comic Sans MS"/>
                    </w:rPr>
                    <w:t xml:space="preserve">or above </w:t>
                  </w:r>
                  <w:r w:rsidRPr="00BD3108">
                    <w:rPr>
                      <w:rFonts w:ascii="Comic Sans MS" w:hAnsi="Comic Sans MS"/>
                    </w:rPr>
                    <w:t xml:space="preserve">level in Year 1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Non-Pupil Premium </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Maths </w:t>
                  </w:r>
                </w:p>
              </w:tc>
              <w:tc>
                <w:tcPr>
                  <w:tcW w:w="4648" w:type="dxa"/>
                </w:tcPr>
                <w:p w:rsidR="00BD3108" w:rsidRPr="00BD3108" w:rsidRDefault="00BD3108">
                  <w:pPr>
                    <w:rPr>
                      <w:rFonts w:ascii="Comic Sans MS" w:hAnsi="Comic Sans MS"/>
                    </w:rPr>
                  </w:pPr>
                </w:p>
              </w:tc>
              <w:tc>
                <w:tcPr>
                  <w:tcW w:w="4648" w:type="dxa"/>
                </w:tcPr>
                <w:p w:rsidR="00BD3108" w:rsidRPr="00BD3108" w:rsidRDefault="00BD3108">
                  <w:pPr>
                    <w:rPr>
                      <w:rFonts w:ascii="Comic Sans MS" w:hAnsi="Comic Sans MS"/>
                    </w:rPr>
                  </w:pP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Reading </w:t>
                  </w:r>
                </w:p>
              </w:tc>
              <w:tc>
                <w:tcPr>
                  <w:tcW w:w="4648" w:type="dxa"/>
                </w:tcPr>
                <w:p w:rsidR="00BD3108" w:rsidRPr="00BD3108" w:rsidRDefault="00BD3108">
                  <w:pPr>
                    <w:rPr>
                      <w:rFonts w:ascii="Comic Sans MS" w:hAnsi="Comic Sans MS"/>
                    </w:rPr>
                  </w:pPr>
                </w:p>
              </w:tc>
              <w:tc>
                <w:tcPr>
                  <w:tcW w:w="4648" w:type="dxa"/>
                </w:tcPr>
                <w:p w:rsidR="00BD3108" w:rsidRPr="00BD3108" w:rsidRDefault="00BD3108">
                  <w:pPr>
                    <w:rPr>
                      <w:rFonts w:ascii="Comic Sans MS" w:hAnsi="Comic Sans MS"/>
                    </w:rPr>
                  </w:pP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Writing </w:t>
                  </w:r>
                </w:p>
              </w:tc>
              <w:tc>
                <w:tcPr>
                  <w:tcW w:w="4648" w:type="dxa"/>
                </w:tcPr>
                <w:p w:rsidR="00BD3108" w:rsidRPr="00BD3108" w:rsidRDefault="00BD3108">
                  <w:pPr>
                    <w:rPr>
                      <w:rFonts w:ascii="Comic Sans MS" w:hAnsi="Comic Sans MS"/>
                    </w:rPr>
                  </w:pPr>
                </w:p>
              </w:tc>
              <w:tc>
                <w:tcPr>
                  <w:tcW w:w="4648" w:type="dxa"/>
                </w:tcPr>
                <w:p w:rsidR="00BD3108" w:rsidRPr="00BD3108" w:rsidRDefault="00BD3108">
                  <w:pPr>
                    <w:rPr>
                      <w:rFonts w:ascii="Comic Sans MS" w:hAnsi="Comic Sans MS"/>
                    </w:rPr>
                  </w:pPr>
                </w:p>
              </w:tc>
            </w:tr>
          </w:tbl>
          <w:p w:rsidR="00BD3108" w:rsidRDefault="00BD3108"/>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lastRenderedPageBreak/>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2</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Maths </w:t>
                  </w:r>
                </w:p>
              </w:tc>
              <w:tc>
                <w:tcPr>
                  <w:tcW w:w="4648" w:type="dxa"/>
                </w:tcPr>
                <w:p w:rsidR="00BD3108" w:rsidRPr="00BD3108" w:rsidRDefault="00423DA2" w:rsidP="0035256F">
                  <w:pPr>
                    <w:rPr>
                      <w:rFonts w:ascii="Comic Sans MS" w:hAnsi="Comic Sans MS"/>
                    </w:rPr>
                  </w:pPr>
                  <w:r>
                    <w:rPr>
                      <w:rFonts w:ascii="Comic Sans MS" w:hAnsi="Comic Sans MS"/>
                    </w:rPr>
                    <w:t xml:space="preserve"> </w:t>
                  </w:r>
                </w:p>
              </w:tc>
              <w:tc>
                <w:tcPr>
                  <w:tcW w:w="4648" w:type="dxa"/>
                </w:tcPr>
                <w:p w:rsidR="00BD3108" w:rsidRPr="00BD3108" w:rsidRDefault="00BD3108" w:rsidP="00BD3108">
                  <w:pPr>
                    <w:rPr>
                      <w:rFonts w:ascii="Comic Sans MS" w:hAnsi="Comic Sans MS"/>
                    </w:rPr>
                  </w:pP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Reading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Writing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bl>
          <w:p w:rsidR="0035256F" w:rsidRDefault="0035256F"/>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3</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bl>
          <w:p w:rsidR="00BD3108" w:rsidRDefault="00BD3108"/>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4</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bl>
          <w:p w:rsidR="00BD3108" w:rsidRDefault="00BD3108"/>
          <w:tbl>
            <w:tblPr>
              <w:tblStyle w:val="TableGrid"/>
              <w:tblpPr w:leftFromText="180" w:rightFromText="180" w:vertAnchor="text" w:horzAnchor="margin" w:tblpY="163"/>
              <w:tblOverlap w:val="never"/>
              <w:tblW w:w="0" w:type="auto"/>
              <w:tblLook w:val="04A0" w:firstRow="1" w:lastRow="0" w:firstColumn="1" w:lastColumn="0" w:noHBand="0" w:noVBand="1"/>
            </w:tblPr>
            <w:tblGrid>
              <w:gridCol w:w="4574"/>
              <w:gridCol w:w="4574"/>
              <w:gridCol w:w="4574"/>
            </w:tblGrid>
            <w:tr w:rsidR="00BD3108" w:rsidRPr="00BD3108" w:rsidTr="00BD3108">
              <w:tc>
                <w:tcPr>
                  <w:tcW w:w="4647" w:type="dxa"/>
                </w:tcPr>
                <w:p w:rsidR="00BD3108" w:rsidRPr="00BD3108" w:rsidRDefault="00BD3108" w:rsidP="00BD3108">
                  <w:pPr>
                    <w:rPr>
                      <w:rFonts w:ascii="Comic Sans MS" w:hAnsi="Comic Sans MS"/>
                    </w:rPr>
                  </w:pPr>
                  <w:r w:rsidRPr="00BD3108">
                    <w:rPr>
                      <w:rFonts w:ascii="Comic Sans MS" w:hAnsi="Comic Sans MS"/>
                    </w:rPr>
                    <w:lastRenderedPageBreak/>
                    <w:t xml:space="preserve">% Passing Phonics screening by end of KS1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Non-Pupil Premium </w:t>
                  </w:r>
                </w:p>
              </w:tc>
            </w:tr>
            <w:tr w:rsidR="00BD3108" w:rsidRPr="00BD3108" w:rsidTr="00BD3108">
              <w:tc>
                <w:tcPr>
                  <w:tcW w:w="4647" w:type="dxa"/>
                </w:tcPr>
                <w:p w:rsidR="00BD3108" w:rsidRPr="00BD3108" w:rsidRDefault="007C52B1" w:rsidP="00BD3108">
                  <w:pPr>
                    <w:rPr>
                      <w:rFonts w:ascii="Comic Sans MS" w:hAnsi="Comic Sans MS"/>
                    </w:rPr>
                  </w:pPr>
                  <w:r>
                    <w:rPr>
                      <w:rFonts w:ascii="Comic Sans MS" w:hAnsi="Comic Sans MS"/>
                    </w:rPr>
                    <w:t xml:space="preserve">School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r w:rsidR="00BD3108" w:rsidRPr="00BD3108" w:rsidTr="00BD3108">
              <w:tc>
                <w:tcPr>
                  <w:tcW w:w="4647" w:type="dxa"/>
                </w:tcPr>
                <w:p w:rsidR="00BD3108" w:rsidRPr="00BD3108" w:rsidRDefault="007C52B1" w:rsidP="00BD3108">
                  <w:pPr>
                    <w:rPr>
                      <w:rFonts w:ascii="Comic Sans MS" w:hAnsi="Comic Sans MS"/>
                    </w:rPr>
                  </w:pPr>
                  <w:r>
                    <w:rPr>
                      <w:rFonts w:ascii="Comic Sans MS" w:hAnsi="Comic Sans MS"/>
                    </w:rPr>
                    <w:t xml:space="preserve">National </w:t>
                  </w:r>
                </w:p>
              </w:tc>
              <w:tc>
                <w:tcPr>
                  <w:tcW w:w="4648" w:type="dxa"/>
                </w:tcPr>
                <w:p w:rsidR="00BD3108" w:rsidRPr="00BD3108" w:rsidRDefault="00BD3108" w:rsidP="00BD3108">
                  <w:pPr>
                    <w:rPr>
                      <w:rFonts w:ascii="Comic Sans MS" w:hAnsi="Comic Sans MS"/>
                    </w:rPr>
                  </w:pPr>
                </w:p>
              </w:tc>
              <w:tc>
                <w:tcPr>
                  <w:tcW w:w="4648" w:type="dxa"/>
                </w:tcPr>
                <w:p w:rsidR="00BD3108" w:rsidRPr="00BD3108" w:rsidRDefault="00BD3108" w:rsidP="00BD3108">
                  <w:pPr>
                    <w:rPr>
                      <w:rFonts w:ascii="Comic Sans MS" w:hAnsi="Comic Sans MS"/>
                    </w:rPr>
                  </w:pPr>
                </w:p>
              </w:tc>
            </w:tr>
          </w:tbl>
          <w:p w:rsidR="00BD3108" w:rsidRDefault="00BD3108"/>
          <w:p w:rsidR="002A37E6" w:rsidRDefault="002A37E6"/>
        </w:tc>
      </w:tr>
      <w:tr w:rsidR="002A37E6" w:rsidTr="002A37E6">
        <w:tc>
          <w:tcPr>
            <w:tcW w:w="14174" w:type="dxa"/>
          </w:tcPr>
          <w:p w:rsidR="002A37E6" w:rsidRDefault="002A37E6">
            <w:pPr>
              <w:rPr>
                <w:rFonts w:ascii="Comic Sans MS" w:hAnsi="Comic Sans MS"/>
                <w:b/>
                <w:sz w:val="24"/>
                <w:szCs w:val="24"/>
              </w:rPr>
            </w:pPr>
          </w:p>
          <w:p w:rsidR="002A37E6" w:rsidRDefault="002A37E6">
            <w:pPr>
              <w:rPr>
                <w:rFonts w:ascii="Comic Sans MS" w:hAnsi="Comic Sans MS"/>
                <w:b/>
                <w:sz w:val="24"/>
                <w:szCs w:val="24"/>
              </w:rPr>
            </w:pPr>
            <w:r w:rsidRPr="002A37E6">
              <w:rPr>
                <w:rFonts w:ascii="Comic Sans MS" w:hAnsi="Comic Sans MS"/>
                <w:b/>
                <w:sz w:val="24"/>
                <w:szCs w:val="24"/>
              </w:rPr>
              <w:t xml:space="preserve">Attainment compared to last year </w:t>
            </w:r>
          </w:p>
          <w:p w:rsidR="002A37E6" w:rsidRPr="002A37E6" w:rsidRDefault="002A37E6">
            <w:pPr>
              <w:rPr>
                <w:rFonts w:ascii="Comic Sans MS" w:hAnsi="Comic Sans MS"/>
                <w:b/>
                <w:sz w:val="24"/>
                <w:szCs w:val="24"/>
              </w:rPr>
            </w:pPr>
          </w:p>
        </w:tc>
      </w:tr>
      <w:tr w:rsidR="002A37E6" w:rsidTr="002A37E6">
        <w:tc>
          <w:tcPr>
            <w:tcW w:w="14174" w:type="dxa"/>
          </w:tcPr>
          <w:p w:rsidR="002A37E6" w:rsidRDefault="002A37E6"/>
          <w:p w:rsidR="002A37E6" w:rsidRDefault="002A37E6"/>
          <w:p w:rsidR="002A37E6" w:rsidRDefault="002A37E6"/>
          <w:p w:rsidR="002A37E6" w:rsidRDefault="002A37E6"/>
          <w:p w:rsidR="00A83086" w:rsidRDefault="00A83086"/>
          <w:p w:rsidR="00A83086" w:rsidRDefault="00A83086"/>
          <w:p w:rsidR="00A83086" w:rsidRDefault="00A83086"/>
          <w:p w:rsidR="00A83086" w:rsidRDefault="00A83086"/>
          <w:p w:rsidR="002A37E6" w:rsidRDefault="002A37E6"/>
          <w:p w:rsidR="002A37E6" w:rsidRDefault="002A37E6"/>
          <w:p w:rsidR="002A37E6" w:rsidRDefault="002A37E6"/>
        </w:tc>
      </w:tr>
    </w:tbl>
    <w:p w:rsidR="002A37E6" w:rsidRDefault="002A37E6"/>
    <w:p w:rsidR="002A37E6" w:rsidRDefault="002A37E6"/>
    <w:p w:rsidR="00F92534" w:rsidRDefault="00F92534"/>
    <w:p w:rsidR="002A37E6" w:rsidRDefault="002A37E6"/>
    <w:tbl>
      <w:tblPr>
        <w:tblStyle w:val="TableGrid"/>
        <w:tblW w:w="0" w:type="auto"/>
        <w:tblLook w:val="04A0" w:firstRow="1" w:lastRow="0" w:firstColumn="1" w:lastColumn="0" w:noHBand="0" w:noVBand="1"/>
      </w:tblPr>
      <w:tblGrid>
        <w:gridCol w:w="13948"/>
      </w:tblGrid>
      <w:tr w:rsidR="002A37E6" w:rsidTr="00F92534">
        <w:tc>
          <w:tcPr>
            <w:tcW w:w="14174" w:type="dxa"/>
            <w:shd w:val="clear" w:color="auto" w:fill="943634" w:themeFill="accent2" w:themeFillShade="BF"/>
          </w:tcPr>
          <w:p w:rsidR="00F92534" w:rsidRDefault="00F92534">
            <w:pPr>
              <w:rPr>
                <w:rFonts w:ascii="Comic Sans MS" w:hAnsi="Comic Sans MS"/>
                <w:b/>
                <w:sz w:val="28"/>
                <w:szCs w:val="28"/>
              </w:rPr>
            </w:pPr>
          </w:p>
          <w:p w:rsidR="002A37E6" w:rsidRDefault="002A37E6">
            <w:pPr>
              <w:rPr>
                <w:rFonts w:ascii="Comic Sans MS" w:hAnsi="Comic Sans MS"/>
                <w:b/>
                <w:sz w:val="28"/>
                <w:szCs w:val="28"/>
              </w:rPr>
            </w:pPr>
            <w:r w:rsidRPr="00F92534">
              <w:rPr>
                <w:rFonts w:ascii="Comic Sans MS" w:hAnsi="Comic Sans MS"/>
                <w:b/>
                <w:sz w:val="28"/>
                <w:szCs w:val="28"/>
              </w:rPr>
              <w:t>Impac</w:t>
            </w:r>
            <w:r w:rsidR="000F1991">
              <w:rPr>
                <w:rFonts w:ascii="Comic Sans MS" w:hAnsi="Comic Sans MS"/>
                <w:b/>
                <w:sz w:val="28"/>
                <w:szCs w:val="28"/>
              </w:rPr>
              <w:t>t of Pupil Premium Spending 2017 – 2018</w:t>
            </w:r>
            <w:r w:rsidRPr="00F92534">
              <w:rPr>
                <w:rFonts w:ascii="Comic Sans MS" w:hAnsi="Comic Sans MS"/>
                <w:b/>
                <w:sz w:val="28"/>
                <w:szCs w:val="28"/>
              </w:rPr>
              <w:t xml:space="preserve"> </w:t>
            </w:r>
          </w:p>
          <w:p w:rsidR="00F92534" w:rsidRPr="00F92534" w:rsidRDefault="00F92534">
            <w:pPr>
              <w:rPr>
                <w:rFonts w:ascii="Comic Sans MS" w:hAnsi="Comic Sans MS"/>
                <w:b/>
                <w:sz w:val="28"/>
                <w:szCs w:val="28"/>
              </w:rPr>
            </w:pPr>
          </w:p>
        </w:tc>
      </w:tr>
      <w:tr w:rsidR="002A37E6" w:rsidTr="002A37E6">
        <w:tc>
          <w:tcPr>
            <w:tcW w:w="14174" w:type="dxa"/>
          </w:tcPr>
          <w:p w:rsidR="00F92534" w:rsidRDefault="00F92534"/>
          <w:p w:rsidR="00F92534" w:rsidRDefault="00F92534"/>
          <w:p w:rsidR="00F92534" w:rsidRDefault="00F92534"/>
          <w:p w:rsidR="00A83086" w:rsidRDefault="00A83086"/>
          <w:p w:rsidR="00A83086" w:rsidRDefault="00A83086"/>
          <w:p w:rsidR="00A83086" w:rsidRDefault="00A83086"/>
          <w:p w:rsidR="00A83086" w:rsidRDefault="00A83086"/>
          <w:p w:rsidR="00A83086" w:rsidRDefault="00A83086"/>
          <w:p w:rsidR="00A83086" w:rsidRDefault="00A83086"/>
          <w:p w:rsidR="00F92534" w:rsidRDefault="00F92534"/>
          <w:p w:rsidR="00F92534" w:rsidRDefault="00F92534"/>
        </w:tc>
      </w:tr>
    </w:tbl>
    <w:p w:rsidR="002A37E6" w:rsidRDefault="002A37E6"/>
    <w:p w:rsidR="006B09B3" w:rsidRDefault="006B09B3"/>
    <w:tbl>
      <w:tblPr>
        <w:tblStyle w:val="TableGrid"/>
        <w:tblW w:w="0" w:type="auto"/>
        <w:tblLook w:val="04A0" w:firstRow="1" w:lastRow="0" w:firstColumn="1" w:lastColumn="0" w:noHBand="0" w:noVBand="1"/>
      </w:tblPr>
      <w:tblGrid>
        <w:gridCol w:w="13948"/>
      </w:tblGrid>
      <w:tr w:rsidR="002A37E6" w:rsidTr="00A83086">
        <w:tc>
          <w:tcPr>
            <w:tcW w:w="13948" w:type="dxa"/>
            <w:shd w:val="clear" w:color="auto" w:fill="943634" w:themeFill="accent2" w:themeFillShade="BF"/>
          </w:tcPr>
          <w:p w:rsidR="002A37E6" w:rsidRDefault="002A37E6"/>
          <w:p w:rsidR="002A37E6" w:rsidRPr="002A37E6" w:rsidRDefault="000F1991">
            <w:pPr>
              <w:rPr>
                <w:rFonts w:ascii="Comic Sans MS" w:hAnsi="Comic Sans MS"/>
                <w:b/>
                <w:sz w:val="28"/>
                <w:szCs w:val="28"/>
              </w:rPr>
            </w:pPr>
            <w:r>
              <w:rPr>
                <w:rFonts w:ascii="Comic Sans MS" w:hAnsi="Comic Sans MS"/>
                <w:b/>
                <w:sz w:val="28"/>
                <w:szCs w:val="28"/>
              </w:rPr>
              <w:t>Nature of Support 2017 – 2018</w:t>
            </w:r>
            <w:r w:rsidR="002A37E6" w:rsidRPr="002A37E6">
              <w:rPr>
                <w:rFonts w:ascii="Comic Sans MS" w:hAnsi="Comic Sans MS"/>
                <w:b/>
                <w:sz w:val="28"/>
                <w:szCs w:val="28"/>
              </w:rPr>
              <w:t xml:space="preserve"> </w:t>
            </w:r>
          </w:p>
          <w:p w:rsidR="002A37E6" w:rsidRDefault="002A37E6"/>
        </w:tc>
      </w:tr>
      <w:tr w:rsidR="002A37E6" w:rsidTr="00A83086">
        <w:tc>
          <w:tcPr>
            <w:tcW w:w="13948" w:type="dxa"/>
          </w:tcPr>
          <w:p w:rsidR="002A37E6" w:rsidRDefault="002A37E6"/>
          <w:tbl>
            <w:tblPr>
              <w:tblStyle w:val="TableGrid"/>
              <w:tblW w:w="0" w:type="auto"/>
              <w:tblLook w:val="04A0" w:firstRow="1" w:lastRow="0" w:firstColumn="1" w:lastColumn="0" w:noHBand="0" w:noVBand="1"/>
            </w:tblPr>
            <w:tblGrid>
              <w:gridCol w:w="4978"/>
              <w:gridCol w:w="1701"/>
              <w:gridCol w:w="3634"/>
              <w:gridCol w:w="3402"/>
            </w:tblGrid>
            <w:tr w:rsidR="000F1991" w:rsidRPr="000F1991" w:rsidTr="000F1991">
              <w:tc>
                <w:tcPr>
                  <w:tcW w:w="4978" w:type="dxa"/>
                </w:tcPr>
                <w:p w:rsidR="000F1991" w:rsidRPr="000F1991" w:rsidRDefault="000F1991" w:rsidP="000F1991">
                  <w:pPr>
                    <w:rPr>
                      <w:rFonts w:ascii="Comic Sans MS" w:hAnsi="Comic Sans MS"/>
                    </w:rPr>
                  </w:pPr>
                  <w:r w:rsidRPr="000F1991">
                    <w:rPr>
                      <w:rFonts w:ascii="Comic Sans MS" w:hAnsi="Comic Sans MS"/>
                    </w:rPr>
                    <w:t>Targeted Support /Projects</w:t>
                  </w:r>
                </w:p>
              </w:tc>
              <w:tc>
                <w:tcPr>
                  <w:tcW w:w="1701" w:type="dxa"/>
                </w:tcPr>
                <w:p w:rsidR="000F1991" w:rsidRPr="000F1991" w:rsidRDefault="000F1991" w:rsidP="000F1991">
                  <w:pPr>
                    <w:rPr>
                      <w:rFonts w:ascii="Comic Sans MS" w:hAnsi="Comic Sans MS"/>
                    </w:rPr>
                  </w:pPr>
                  <w:r w:rsidRPr="000F1991">
                    <w:rPr>
                      <w:rFonts w:ascii="Comic Sans MS" w:hAnsi="Comic Sans MS"/>
                    </w:rPr>
                    <w:t>Cost</w:t>
                  </w:r>
                </w:p>
              </w:tc>
              <w:tc>
                <w:tcPr>
                  <w:tcW w:w="3634" w:type="dxa"/>
                </w:tcPr>
                <w:p w:rsidR="000F1991" w:rsidRPr="000F1991" w:rsidRDefault="000F1991" w:rsidP="000F1991">
                  <w:pPr>
                    <w:rPr>
                      <w:rFonts w:ascii="Comic Sans MS" w:hAnsi="Comic Sans MS"/>
                    </w:rPr>
                  </w:pPr>
                  <w:r w:rsidRPr="000F1991">
                    <w:rPr>
                      <w:rFonts w:ascii="Comic Sans MS" w:hAnsi="Comic Sans MS"/>
                    </w:rPr>
                    <w:t>Objective</w:t>
                  </w:r>
                </w:p>
              </w:tc>
              <w:tc>
                <w:tcPr>
                  <w:tcW w:w="3402" w:type="dxa"/>
                </w:tcPr>
                <w:p w:rsidR="000F1991" w:rsidRPr="000F1991" w:rsidRDefault="000F1991" w:rsidP="000F1991">
                  <w:pPr>
                    <w:rPr>
                      <w:rFonts w:ascii="Comic Sans MS" w:hAnsi="Comic Sans MS"/>
                    </w:rPr>
                  </w:pPr>
                  <w:r w:rsidRPr="000F1991">
                    <w:rPr>
                      <w:rFonts w:ascii="Comic Sans MS" w:hAnsi="Comic Sans MS"/>
                    </w:rPr>
                    <w:t>Evidence/Outcomes</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Special Needs Teaching Assistant 1-1 intervention </w:t>
                  </w:r>
                </w:p>
                <w:p w:rsidR="000F1991" w:rsidRPr="000F1991" w:rsidRDefault="000F1991" w:rsidP="000F1991">
                  <w:pPr>
                    <w:rPr>
                      <w:rFonts w:ascii="Comic Sans MS" w:hAnsi="Comic Sans MS"/>
                      <w:sz w:val="18"/>
                      <w:szCs w:val="18"/>
                    </w:rPr>
                  </w:pPr>
                  <w:r w:rsidRPr="000F1991">
                    <w:rPr>
                      <w:rFonts w:ascii="Comic Sans MS" w:hAnsi="Comic Sans MS"/>
                      <w:sz w:val="18"/>
                      <w:szCs w:val="18"/>
                    </w:rPr>
                    <w:t>14 hours</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£4000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give extra targeted support for identified children in order to extend their knowledge.   </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w:t>
                  </w:r>
                </w:p>
                <w:p w:rsidR="000F1991" w:rsidRPr="000F1991" w:rsidRDefault="000F1991" w:rsidP="000F1991">
                  <w:pPr>
                    <w:rPr>
                      <w:rFonts w:ascii="Comic Sans MS" w:hAnsi="Comic Sans MS"/>
                      <w:sz w:val="18"/>
                      <w:szCs w:val="18"/>
                    </w:rPr>
                  </w:pPr>
                  <w:r w:rsidRPr="000F1991">
                    <w:rPr>
                      <w:rFonts w:ascii="Comic Sans MS" w:hAnsi="Comic Sans MS"/>
                      <w:sz w:val="18"/>
                      <w:szCs w:val="18"/>
                    </w:rPr>
                    <w:t>KS1</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£800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support pupils who lack confidence, build up their self-esteem and independent skills and extend their knowledge</w:t>
                  </w:r>
                </w:p>
              </w:tc>
              <w:tc>
                <w:tcPr>
                  <w:tcW w:w="3402"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Targeted support ensuring good progress made by all children</w:t>
                  </w: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 KS2</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£800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Small group programme for Dyscalculia running. </w:t>
                  </w:r>
                </w:p>
                <w:p w:rsidR="000F1991" w:rsidRPr="000F1991" w:rsidRDefault="000F1991" w:rsidP="000F1991">
                  <w:pPr>
                    <w:rPr>
                      <w:rFonts w:ascii="Comic Sans MS" w:hAnsi="Comic Sans MS"/>
                      <w:sz w:val="18"/>
                      <w:szCs w:val="18"/>
                    </w:rPr>
                  </w:pPr>
                  <w:r w:rsidRPr="000F1991">
                    <w:rPr>
                      <w:rFonts w:ascii="Comic Sans MS" w:hAnsi="Comic Sans MS"/>
                      <w:sz w:val="18"/>
                      <w:szCs w:val="18"/>
                    </w:rPr>
                    <w:t>3 times per week for 30 minutes</w:t>
                  </w: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I:I support behaviour and self-esteem – KS2</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£800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ELSA sessions to be run with individual children.   </w:t>
                  </w:r>
                </w:p>
              </w:tc>
              <w:tc>
                <w:tcPr>
                  <w:tcW w:w="3402" w:type="dxa"/>
                </w:tcPr>
                <w:p w:rsidR="000F1991" w:rsidRPr="000F1991" w:rsidRDefault="000F1991" w:rsidP="000F1991">
                  <w:pPr>
                    <w:rPr>
                      <w:rFonts w:ascii="Comic Sans MS" w:hAnsi="Comic Sans MS"/>
                      <w:sz w:val="18"/>
                      <w:szCs w:val="18"/>
                    </w:rPr>
                  </w:pPr>
                </w:p>
              </w:tc>
            </w:tr>
            <w:tr w:rsidR="000F1991" w:rsidRPr="000F1991" w:rsidTr="000F1991">
              <w:trPr>
                <w:trHeight w:val="1306"/>
              </w:trPr>
              <w:tc>
                <w:tcPr>
                  <w:tcW w:w="4978" w:type="dxa"/>
                </w:tcPr>
                <w:p w:rsidR="000F1991" w:rsidRPr="000F1991" w:rsidRDefault="000F1991" w:rsidP="00BB3AF6">
                  <w:pPr>
                    <w:rPr>
                      <w:rFonts w:ascii="Comic Sans MS" w:hAnsi="Comic Sans MS"/>
                      <w:sz w:val="18"/>
                      <w:szCs w:val="18"/>
                    </w:rPr>
                  </w:pPr>
                  <w:r w:rsidRPr="000F1991">
                    <w:rPr>
                      <w:rFonts w:ascii="Comic Sans MS" w:hAnsi="Comic Sans MS"/>
                      <w:sz w:val="18"/>
                      <w:szCs w:val="18"/>
                    </w:rPr>
                    <w:lastRenderedPageBreak/>
                    <w:t>I:I support behaviour and self-esteem – KS1</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£500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ELSA sessions to be run with individual children.   </w:t>
                  </w:r>
                </w:p>
              </w:tc>
              <w:tc>
                <w:tcPr>
                  <w:tcW w:w="3402" w:type="dxa"/>
                </w:tcPr>
                <w:p w:rsidR="000F1991" w:rsidRPr="000F1991" w:rsidRDefault="000F1991" w:rsidP="000F1991">
                  <w:pPr>
                    <w:rPr>
                      <w:rFonts w:ascii="Comic Sans MS" w:hAnsi="Comic Sans MS"/>
                      <w:sz w:val="18"/>
                      <w:szCs w:val="18"/>
                    </w:rPr>
                  </w:pPr>
                </w:p>
              </w:tc>
            </w:tr>
            <w:tr w:rsidR="000F1991" w:rsidRPr="000F1991" w:rsidTr="000F1991">
              <w:trPr>
                <w:trHeight w:val="1306"/>
              </w:trPr>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Talk Boost</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£500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develop children’s language skills and vocabulary which will have </w:t>
                  </w:r>
                  <w:proofErr w:type="gramStart"/>
                  <w:r w:rsidRPr="000F1991">
                    <w:rPr>
                      <w:rFonts w:ascii="Comic Sans MS" w:hAnsi="Comic Sans MS"/>
                      <w:sz w:val="18"/>
                      <w:szCs w:val="18"/>
                    </w:rPr>
                    <w:t>an</w:t>
                  </w:r>
                  <w:proofErr w:type="gramEnd"/>
                  <w:r w:rsidRPr="000F1991">
                    <w:rPr>
                      <w:rFonts w:ascii="Comic Sans MS" w:hAnsi="Comic Sans MS"/>
                      <w:sz w:val="18"/>
                      <w:szCs w:val="18"/>
                    </w:rPr>
                    <w:t xml:space="preserve"> positive impact across all areas of the curriculum.  </w:t>
                  </w: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 support x 1.5 per week KS 1  IG</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£1100</w:t>
                  </w:r>
                </w:p>
              </w:tc>
              <w:tc>
                <w:tcPr>
                  <w:tcW w:w="3634"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 support x 1.5 per week KS 2  IG</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£1131</w:t>
                  </w:r>
                </w:p>
              </w:tc>
              <w:tc>
                <w:tcPr>
                  <w:tcW w:w="3634"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Jeanette Group Intervention</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£2000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enable the pupils to access teaching in smaller groups to make better progress.</w:t>
                  </w: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Specialist Advisors</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£1000</w:t>
                  </w:r>
                </w:p>
              </w:tc>
              <w:tc>
                <w:tcPr>
                  <w:tcW w:w="3634" w:type="dxa"/>
                </w:tcPr>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lastRenderedPageBreak/>
                    <w:t xml:space="preserve">SPAG Support </w:t>
                  </w: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£500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give extra targeted support for identified children to boost phonic knowledge and skills and aid progress in writing and reading.  </w:t>
                  </w:r>
                </w:p>
                <w:p w:rsidR="000F1991" w:rsidRPr="000F1991" w:rsidRDefault="000F1991" w:rsidP="000F1991">
                  <w:pPr>
                    <w:rPr>
                      <w:rFonts w:ascii="Comic Sans MS" w:hAnsi="Comic Sans MS"/>
                      <w:sz w:val="18"/>
                      <w:szCs w:val="18"/>
                    </w:rPr>
                  </w:pP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Breakfast Club and after school club</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£300</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ensure children have a balanced diet and receive all nutrients.   And have access to after school clubs and activities</w:t>
                  </w: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Pupil </w:t>
                  </w:r>
                  <w:proofErr w:type="spellStart"/>
                  <w:r w:rsidRPr="000F1991">
                    <w:rPr>
                      <w:rFonts w:ascii="Comic Sans MS" w:hAnsi="Comic Sans MS"/>
                      <w:sz w:val="18"/>
                      <w:szCs w:val="18"/>
                    </w:rPr>
                    <w:t>Prem</w:t>
                  </w:r>
                  <w:proofErr w:type="spellEnd"/>
                  <w:r w:rsidRPr="000F1991">
                    <w:rPr>
                      <w:rFonts w:ascii="Comic Sans MS" w:hAnsi="Comic Sans MS"/>
                      <w:sz w:val="18"/>
                      <w:szCs w:val="18"/>
                    </w:rPr>
                    <w:t xml:space="preserve"> children Milk </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£144</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ensure children have a balanced diet and receive all nutrients.   </w:t>
                  </w: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Swimming </w:t>
                  </w: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£495</w:t>
                  </w:r>
                </w:p>
              </w:tc>
              <w:tc>
                <w:tcPr>
                  <w:tcW w:w="3634"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Children have support with swimming to enable them to access all areas of the curriculum.  </w:t>
                  </w:r>
                </w:p>
              </w:tc>
              <w:tc>
                <w:tcPr>
                  <w:tcW w:w="3402" w:type="dxa"/>
                </w:tcPr>
                <w:p w:rsidR="000F1991" w:rsidRPr="000F1991" w:rsidRDefault="000F1991" w:rsidP="000F1991">
                  <w:pPr>
                    <w:rPr>
                      <w:rFonts w:ascii="Comic Sans MS" w:hAnsi="Comic Sans MS"/>
                      <w:sz w:val="18"/>
                      <w:szCs w:val="18"/>
                    </w:rPr>
                  </w:pPr>
                </w:p>
              </w:tc>
            </w:tr>
            <w:tr w:rsidR="000F1991" w:rsidRPr="000F1991" w:rsidTr="000F1991">
              <w:tc>
                <w:tcPr>
                  <w:tcW w:w="4978"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Staff training</w:t>
                  </w:r>
                </w:p>
                <w:p w:rsidR="000F1991" w:rsidRPr="000F1991" w:rsidRDefault="000F1991" w:rsidP="000F1991">
                  <w:pPr>
                    <w:rPr>
                      <w:rFonts w:ascii="Comic Sans MS" w:hAnsi="Comic Sans MS"/>
                      <w:sz w:val="18"/>
                      <w:szCs w:val="18"/>
                    </w:rPr>
                  </w:pPr>
                </w:p>
                <w:p w:rsidR="000F1991" w:rsidRPr="000F1991" w:rsidRDefault="000F1991" w:rsidP="000F1991">
                  <w:pPr>
                    <w:rPr>
                      <w:rFonts w:ascii="Comic Sans MS" w:hAnsi="Comic Sans MS"/>
                      <w:sz w:val="18"/>
                      <w:szCs w:val="18"/>
                    </w:rPr>
                  </w:pPr>
                </w:p>
              </w:tc>
              <w:tc>
                <w:tcPr>
                  <w:tcW w:w="1701"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£750</w:t>
                  </w:r>
                </w:p>
              </w:tc>
              <w:tc>
                <w:tcPr>
                  <w:tcW w:w="3634" w:type="dxa"/>
                </w:tcPr>
                <w:p w:rsidR="000F1991" w:rsidRPr="000F1991" w:rsidRDefault="000F1991" w:rsidP="000F1991">
                  <w:pPr>
                    <w:rPr>
                      <w:rFonts w:ascii="Comic Sans MS" w:hAnsi="Comic Sans MS"/>
                      <w:sz w:val="18"/>
                      <w:szCs w:val="18"/>
                    </w:rPr>
                  </w:pPr>
                </w:p>
              </w:tc>
              <w:tc>
                <w:tcPr>
                  <w:tcW w:w="3402" w:type="dxa"/>
                </w:tcPr>
                <w:p w:rsidR="000F1991" w:rsidRPr="000F1991" w:rsidRDefault="000F1991" w:rsidP="000F1991">
                  <w:pPr>
                    <w:rPr>
                      <w:rFonts w:ascii="Comic Sans MS" w:hAnsi="Comic Sans MS"/>
                      <w:sz w:val="18"/>
                      <w:szCs w:val="18"/>
                    </w:rPr>
                  </w:pPr>
                </w:p>
              </w:tc>
            </w:tr>
          </w:tbl>
          <w:p w:rsidR="000F1991" w:rsidRDefault="000F1991"/>
        </w:tc>
      </w:tr>
    </w:tbl>
    <w:p w:rsidR="002A37E6" w:rsidRDefault="002A37E6"/>
    <w:p w:rsidR="002A37E6" w:rsidRDefault="00E63CAD">
      <w:r>
        <w:t>Review date:  Autumn T</w:t>
      </w:r>
      <w:bookmarkStart w:id="0" w:name="_GoBack"/>
      <w:bookmarkEnd w:id="0"/>
      <w:r>
        <w:t>erm 2017</w:t>
      </w:r>
    </w:p>
    <w:tbl>
      <w:tblPr>
        <w:tblStyle w:val="TableGrid"/>
        <w:tblpPr w:leftFromText="180" w:rightFromText="180" w:vertAnchor="page" w:horzAnchor="margin" w:tblpXSpec="center" w:tblpY="5356"/>
        <w:tblW w:w="0" w:type="auto"/>
        <w:shd w:val="clear" w:color="auto" w:fill="943634" w:themeFill="accent2" w:themeFillShade="BF"/>
        <w:tblLook w:val="04A0" w:firstRow="1" w:lastRow="0" w:firstColumn="1" w:lastColumn="0" w:noHBand="0" w:noVBand="1"/>
      </w:tblPr>
      <w:tblGrid>
        <w:gridCol w:w="2518"/>
        <w:gridCol w:w="3260"/>
      </w:tblGrid>
      <w:tr w:rsidR="00BB3AF6" w:rsidRPr="002A37E6" w:rsidTr="00BB3AF6">
        <w:tc>
          <w:tcPr>
            <w:tcW w:w="2518" w:type="dxa"/>
            <w:shd w:val="clear" w:color="auto" w:fill="943634" w:themeFill="accent2" w:themeFillShade="BF"/>
          </w:tcPr>
          <w:p w:rsidR="00BB3AF6" w:rsidRPr="002A37E6" w:rsidRDefault="00BB3AF6" w:rsidP="00BB3AF6">
            <w:pPr>
              <w:rPr>
                <w:rFonts w:ascii="Comic Sans MS" w:hAnsi="Comic Sans MS"/>
                <w:b/>
                <w:sz w:val="28"/>
                <w:szCs w:val="28"/>
              </w:rPr>
            </w:pPr>
            <w:r w:rsidRPr="002A37E6">
              <w:rPr>
                <w:rFonts w:ascii="Comic Sans MS" w:hAnsi="Comic Sans MS"/>
                <w:b/>
                <w:sz w:val="28"/>
                <w:szCs w:val="28"/>
              </w:rPr>
              <w:lastRenderedPageBreak/>
              <w:t xml:space="preserve">Total Pupil Premium Grant Received </w:t>
            </w:r>
          </w:p>
        </w:tc>
        <w:tc>
          <w:tcPr>
            <w:tcW w:w="3260" w:type="dxa"/>
            <w:shd w:val="clear" w:color="auto" w:fill="auto"/>
          </w:tcPr>
          <w:p w:rsidR="00BB3AF6" w:rsidRDefault="00BB3AF6" w:rsidP="00BB3AF6">
            <w:pPr>
              <w:rPr>
                <w:rFonts w:ascii="Comic Sans MS" w:hAnsi="Comic Sans MS"/>
              </w:rPr>
            </w:pPr>
          </w:p>
          <w:p w:rsidR="00BB3AF6" w:rsidRDefault="00BB3AF6" w:rsidP="00BB3AF6">
            <w:pPr>
              <w:rPr>
                <w:rFonts w:ascii="Comic Sans MS" w:hAnsi="Comic Sans MS"/>
              </w:rPr>
            </w:pPr>
          </w:p>
          <w:p w:rsidR="00BB3AF6" w:rsidRPr="002A37E6" w:rsidRDefault="00BB3AF6" w:rsidP="00BB3AF6">
            <w:pPr>
              <w:rPr>
                <w:rFonts w:ascii="Comic Sans MS" w:hAnsi="Comic Sans MS"/>
              </w:rPr>
            </w:pPr>
            <w:r>
              <w:rPr>
                <w:rFonts w:ascii="Comic Sans MS" w:hAnsi="Comic Sans MS"/>
              </w:rPr>
              <w:t>£14,820</w:t>
            </w:r>
          </w:p>
        </w:tc>
      </w:tr>
      <w:tr w:rsidR="00BB3AF6" w:rsidRPr="002A37E6" w:rsidTr="00BB3AF6">
        <w:tc>
          <w:tcPr>
            <w:tcW w:w="2518" w:type="dxa"/>
            <w:shd w:val="clear" w:color="auto" w:fill="943634" w:themeFill="accent2" w:themeFillShade="BF"/>
          </w:tcPr>
          <w:p w:rsidR="00BB3AF6" w:rsidRPr="002A37E6" w:rsidRDefault="00BB3AF6" w:rsidP="00BB3AF6">
            <w:pPr>
              <w:rPr>
                <w:rFonts w:ascii="Comic Sans MS" w:hAnsi="Comic Sans MS"/>
                <w:b/>
                <w:sz w:val="28"/>
                <w:szCs w:val="28"/>
              </w:rPr>
            </w:pPr>
            <w:r w:rsidRPr="002A37E6">
              <w:rPr>
                <w:rFonts w:ascii="Comic Sans MS" w:hAnsi="Comic Sans MS"/>
                <w:b/>
                <w:sz w:val="28"/>
                <w:szCs w:val="28"/>
              </w:rPr>
              <w:t xml:space="preserve">Total Spend </w:t>
            </w:r>
          </w:p>
        </w:tc>
        <w:tc>
          <w:tcPr>
            <w:tcW w:w="3260" w:type="dxa"/>
            <w:shd w:val="clear" w:color="auto" w:fill="auto"/>
          </w:tcPr>
          <w:p w:rsidR="00BB3AF6" w:rsidRPr="002A37E6" w:rsidRDefault="00BB3AF6" w:rsidP="00BB3AF6">
            <w:pPr>
              <w:rPr>
                <w:rFonts w:ascii="Comic Sans MS" w:hAnsi="Comic Sans MS"/>
              </w:rPr>
            </w:pPr>
          </w:p>
        </w:tc>
      </w:tr>
      <w:tr w:rsidR="00BB3AF6" w:rsidRPr="002A37E6" w:rsidTr="00BB3AF6">
        <w:tc>
          <w:tcPr>
            <w:tcW w:w="2518" w:type="dxa"/>
            <w:shd w:val="clear" w:color="auto" w:fill="943634" w:themeFill="accent2" w:themeFillShade="BF"/>
          </w:tcPr>
          <w:p w:rsidR="00BB3AF6" w:rsidRPr="002A37E6" w:rsidRDefault="00BB3AF6" w:rsidP="00BB3AF6">
            <w:pPr>
              <w:rPr>
                <w:rFonts w:ascii="Comic Sans MS" w:hAnsi="Comic Sans MS"/>
                <w:b/>
                <w:sz w:val="28"/>
                <w:szCs w:val="28"/>
              </w:rPr>
            </w:pPr>
            <w:r w:rsidRPr="002A37E6">
              <w:rPr>
                <w:rFonts w:ascii="Comic Sans MS" w:hAnsi="Comic Sans MS"/>
                <w:b/>
                <w:sz w:val="28"/>
                <w:szCs w:val="28"/>
              </w:rPr>
              <w:t xml:space="preserve">Total Remaining </w:t>
            </w:r>
          </w:p>
        </w:tc>
        <w:tc>
          <w:tcPr>
            <w:tcW w:w="3260" w:type="dxa"/>
            <w:shd w:val="clear" w:color="auto" w:fill="auto"/>
          </w:tcPr>
          <w:p w:rsidR="00BB3AF6" w:rsidRPr="002A37E6" w:rsidRDefault="00BB3AF6" w:rsidP="00BB3AF6">
            <w:pPr>
              <w:rPr>
                <w:rFonts w:ascii="Comic Sans MS" w:hAnsi="Comic Sans MS"/>
              </w:rPr>
            </w:pPr>
          </w:p>
        </w:tc>
      </w:tr>
    </w:tbl>
    <w:p w:rsidR="002A37E6" w:rsidRDefault="002A37E6"/>
    <w:sectPr w:rsidR="002A37E6" w:rsidSect="0099233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B3" w:rsidRDefault="006B09B3" w:rsidP="0099233D">
      <w:pPr>
        <w:spacing w:after="0" w:line="240" w:lineRule="auto"/>
      </w:pPr>
      <w:r>
        <w:separator/>
      </w:r>
    </w:p>
  </w:endnote>
  <w:endnote w:type="continuationSeparator" w:id="0">
    <w:p w:rsidR="006B09B3" w:rsidRDefault="006B09B3" w:rsidP="009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B3" w:rsidRDefault="006B09B3" w:rsidP="0099233D">
      <w:pPr>
        <w:spacing w:after="0" w:line="240" w:lineRule="auto"/>
      </w:pPr>
      <w:r>
        <w:separator/>
      </w:r>
    </w:p>
  </w:footnote>
  <w:footnote w:type="continuationSeparator" w:id="0">
    <w:p w:rsidR="006B09B3" w:rsidRDefault="006B09B3" w:rsidP="0099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B3" w:rsidRPr="0099233D" w:rsidRDefault="006B09B3" w:rsidP="0099233D">
    <w:pPr>
      <w:pStyle w:val="Header"/>
      <w:rPr>
        <w:rFonts w:ascii="Comic Sans MS" w:hAnsi="Comic Sans MS"/>
        <w:sz w:val="40"/>
        <w:szCs w:val="40"/>
      </w:rPr>
    </w:pPr>
    <w:r>
      <w:rPr>
        <w:noProof/>
      </w:rPr>
      <w:drawing>
        <wp:inline distT="0" distB="0" distL="0" distR="0">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rPr>
      <w:drawing>
        <wp:inline distT="0" distB="0" distL="0" distR="0" wp14:anchorId="04E6465C" wp14:editId="1125FCA9">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6B09B3" w:rsidRPr="0099233D" w:rsidRDefault="006B09B3" w:rsidP="0099233D">
    <w:pPr>
      <w:pStyle w:val="Header"/>
      <w:jc w:val="center"/>
      <w:rPr>
        <w:rFonts w:ascii="Comic Sans MS" w:hAnsi="Comic Sans MS"/>
        <w:sz w:val="40"/>
        <w:szCs w:val="40"/>
      </w:rPr>
    </w:pPr>
    <w:r w:rsidRPr="0099233D">
      <w:rPr>
        <w:rFonts w:ascii="Comic Sans MS" w:hAnsi="Comic Sans MS"/>
        <w:sz w:val="40"/>
        <w:szCs w:val="40"/>
      </w:rPr>
      <w:t xml:space="preserve">Pupil Premium Allocation </w:t>
    </w:r>
  </w:p>
  <w:p w:rsidR="006B09B3" w:rsidRPr="0099233D" w:rsidRDefault="000F1991" w:rsidP="0099233D">
    <w:pPr>
      <w:pStyle w:val="Header"/>
      <w:jc w:val="center"/>
      <w:rPr>
        <w:rFonts w:ascii="Comic Sans MS" w:hAnsi="Comic Sans MS"/>
        <w:sz w:val="40"/>
        <w:szCs w:val="40"/>
      </w:rPr>
    </w:pPr>
    <w:r>
      <w:rPr>
        <w:rFonts w:ascii="Comic Sans MS" w:hAnsi="Comic Sans MS"/>
        <w:sz w:val="40"/>
        <w:szCs w:val="40"/>
      </w:rPr>
      <w:t>2017 – 2018</w:t>
    </w:r>
  </w:p>
  <w:p w:rsidR="006B09B3" w:rsidRDefault="006B09B3">
    <w:pPr>
      <w:pStyle w:val="Header"/>
    </w:pPr>
  </w:p>
  <w:p w:rsidR="006B09B3" w:rsidRPr="007805B9" w:rsidRDefault="006B09B3" w:rsidP="00CE306C">
    <w:pPr>
      <w:pStyle w:val="Header"/>
      <w:jc w:val="center"/>
      <w:rPr>
        <w:rFonts w:ascii="Comic Sans MS" w:hAnsi="Comic Sans MS"/>
        <w:color w:val="632423" w:themeColor="accent2" w:themeShade="80"/>
        <w:sz w:val="24"/>
        <w:szCs w:val="24"/>
      </w:rPr>
    </w:pPr>
    <w:r w:rsidRPr="007805B9">
      <w:rPr>
        <w:rStyle w:val="Strong"/>
        <w:rFonts w:ascii="Comic Sans MS" w:hAnsi="Comic Sans MS"/>
        <w:color w:val="632423" w:themeColor="accent2" w:themeShade="80"/>
        <w:sz w:val="24"/>
        <w:szCs w:val="24"/>
      </w:rPr>
      <w:t>In our school and within the love of God, we care, enjoy, celebrate, aspire and learn together.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DD9"/>
    <w:multiLevelType w:val="multilevel"/>
    <w:tmpl w:val="03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D"/>
    <w:rsid w:val="000D2B56"/>
    <w:rsid w:val="000F1991"/>
    <w:rsid w:val="001F09F2"/>
    <w:rsid w:val="00235052"/>
    <w:rsid w:val="00284557"/>
    <w:rsid w:val="002A37E6"/>
    <w:rsid w:val="002C5480"/>
    <w:rsid w:val="0035256F"/>
    <w:rsid w:val="00397C8C"/>
    <w:rsid w:val="00423DA2"/>
    <w:rsid w:val="005A3B14"/>
    <w:rsid w:val="005D0B86"/>
    <w:rsid w:val="005D641E"/>
    <w:rsid w:val="006B09B3"/>
    <w:rsid w:val="006C66B7"/>
    <w:rsid w:val="007805B9"/>
    <w:rsid w:val="007C52B1"/>
    <w:rsid w:val="00840BC3"/>
    <w:rsid w:val="008F575C"/>
    <w:rsid w:val="00947A7D"/>
    <w:rsid w:val="0099233D"/>
    <w:rsid w:val="00A05AFB"/>
    <w:rsid w:val="00A83086"/>
    <w:rsid w:val="00AE2E96"/>
    <w:rsid w:val="00B23F71"/>
    <w:rsid w:val="00BB3AF6"/>
    <w:rsid w:val="00BD3108"/>
    <w:rsid w:val="00CA33F9"/>
    <w:rsid w:val="00CE306C"/>
    <w:rsid w:val="00D210DF"/>
    <w:rsid w:val="00DE177A"/>
    <w:rsid w:val="00E07C3D"/>
    <w:rsid w:val="00E63CAD"/>
    <w:rsid w:val="00EE381B"/>
    <w:rsid w:val="00F55A36"/>
    <w:rsid w:val="00F92534"/>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908CB3"/>
  <w15:docId w15:val="{0DB3F6EF-E1CD-412D-BB5F-578A3A8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3D"/>
  </w:style>
  <w:style w:type="paragraph" w:styleId="Footer">
    <w:name w:val="footer"/>
    <w:basedOn w:val="Normal"/>
    <w:link w:val="FooterChar"/>
    <w:uiPriority w:val="99"/>
    <w:unhideWhenUsed/>
    <w:rsid w:val="0099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3D"/>
  </w:style>
  <w:style w:type="paragraph" w:styleId="BalloonText">
    <w:name w:val="Balloon Text"/>
    <w:basedOn w:val="Normal"/>
    <w:link w:val="BalloonTextChar"/>
    <w:uiPriority w:val="99"/>
    <w:semiHidden/>
    <w:unhideWhenUsed/>
    <w:rsid w:val="0099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D"/>
    <w:rPr>
      <w:rFonts w:ascii="Tahoma" w:hAnsi="Tahoma" w:cs="Tahoma"/>
      <w:sz w:val="16"/>
      <w:szCs w:val="16"/>
    </w:rPr>
  </w:style>
  <w:style w:type="character" w:styleId="Strong">
    <w:name w:val="Strong"/>
    <w:basedOn w:val="DefaultParagraphFont"/>
    <w:uiPriority w:val="22"/>
    <w:qFormat/>
    <w:rsid w:val="0099233D"/>
    <w:rPr>
      <w:b/>
      <w:bCs/>
      <w:i w:val="0"/>
      <w:iCs w:val="0"/>
    </w:rPr>
  </w:style>
  <w:style w:type="table" w:styleId="TableGrid">
    <w:name w:val="Table Grid"/>
    <w:basedOn w:val="TableNormal"/>
    <w:uiPriority w:val="59"/>
    <w:rsid w:val="00CE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AFB"/>
    <w:pPr>
      <w:spacing w:before="150" w:after="150" w:line="360" w:lineRule="atLeast"/>
    </w:pPr>
    <w:rPr>
      <w:rFonts w:ascii="Times New Roman" w:eastAsia="Times New Roman" w:hAnsi="Times New Roman" w:cs="Times New Roman"/>
      <w:sz w:val="24"/>
      <w:szCs w:val="24"/>
    </w:rPr>
  </w:style>
  <w:style w:type="paragraph" w:customStyle="1" w:styleId="Default">
    <w:name w:val="Default"/>
    <w:rsid w:val="00DE1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6162">
      <w:bodyDiv w:val="1"/>
      <w:marLeft w:val="0"/>
      <w:marRight w:val="0"/>
      <w:marTop w:val="0"/>
      <w:marBottom w:val="0"/>
      <w:divBdr>
        <w:top w:val="none" w:sz="0" w:space="0" w:color="auto"/>
        <w:left w:val="none" w:sz="0" w:space="0" w:color="auto"/>
        <w:bottom w:val="none" w:sz="0" w:space="0" w:color="auto"/>
        <w:right w:val="none" w:sz="0" w:space="0" w:color="auto"/>
      </w:divBdr>
      <w:divsChild>
        <w:div w:id="514926512">
          <w:marLeft w:val="0"/>
          <w:marRight w:val="0"/>
          <w:marTop w:val="15"/>
          <w:marBottom w:val="0"/>
          <w:divBdr>
            <w:top w:val="single" w:sz="48" w:space="0" w:color="7A1C1C"/>
            <w:left w:val="none" w:sz="0" w:space="0" w:color="auto"/>
            <w:bottom w:val="none" w:sz="0" w:space="0" w:color="auto"/>
            <w:right w:val="none" w:sz="0" w:space="0" w:color="auto"/>
          </w:divBdr>
          <w:divsChild>
            <w:div w:id="70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Pickford</dc:creator>
  <cp:lastModifiedBy>Sarah Pickford</cp:lastModifiedBy>
  <cp:revision>6</cp:revision>
  <cp:lastPrinted>2017-05-17T09:16:00Z</cp:lastPrinted>
  <dcterms:created xsi:type="dcterms:W3CDTF">2017-05-10T08:59:00Z</dcterms:created>
  <dcterms:modified xsi:type="dcterms:W3CDTF">2017-05-24T14:37:00Z</dcterms:modified>
</cp:coreProperties>
</file>